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三门峡市新闻出版局（在市宣传部挂牌）2024年政府信息公开工作年度报告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三门峡市新闻出版局政务信息公开年度报告</w:t>
      </w:r>
    </w:p>
    <w:p>
      <w:pPr>
        <w:widowControl/>
        <w:shd w:color="auto" w:fill="FFFFFF" w:val="clear"/>
        <w:ind w:firstLine="480"/>
        <w:rPr>
          <w:rFonts w:ascii="宋体" w:cs="宋体" w:eastAsia="宋体" w:hAnsi="宋体"/>
          <w:color w:val="333333"/>
          <w:kern w:val="0"/>
          <w:sz w:val="24"/>
          <w:szCs w:val="24"/>
        </w:rPr>
      </w:pPr>
      <w:r>
        <w:t>根据《中华人民共和国政府信息公开条例》（以下简称《条例》），现公布三门峡市新闻出版局2024年度政府信息公开工作年度报告。本报告内容涵盖2024年1月1日至12月31日期间的新闻出版局政府信息公开工作情况。</w:t>
      </w:r>
    </w:p>
    <w:p>
      <w:pPr>
        <w:widowControl/>
        <w:shd w:color="auto" w:fill="FFFFFF" w:val="clear"/>
        <w:ind w:firstLine="480"/>
        <w:rPr>
          <w:rFonts w:ascii="宋体" w:cs="宋体" w:eastAsia="宋体" w:hAnsi="宋体"/>
          <w:color w:val="333333"/>
          <w:kern w:val="0"/>
          <w:sz w:val="24"/>
          <w:szCs w:val="24"/>
        </w:rPr>
      </w:pPr>
      <w:r>
        <w:t>如对本报告有任何疑问，请联系三门峡市新闻出版局地址：崤山路中段市委办公楼406室，邮编：472000，联系电话0398-2928654）</w:t>
      </w:r>
    </w:p>
    <w:p>
      <w:pPr>
        <w:widowControl/>
        <w:shd w:color="auto" w:fill="FFFFFF" w:val="clear"/>
        <w:ind w:firstLine="480"/>
        <w:rPr>
          <w:rFonts w:ascii="宋体" w:cs="宋体" w:eastAsia="宋体" w:hAnsi="宋体"/>
          <w:color w:val="333333"/>
          <w:kern w:val="0"/>
          <w:sz w:val="24"/>
          <w:szCs w:val="24"/>
        </w:rPr>
      </w:pPr>
      <w:r>
        <w:t> 一、总体情况</w:t>
      </w:r>
    </w:p>
    <w:p>
      <w:pPr>
        <w:widowControl/>
        <w:shd w:color="auto" w:fill="FFFFFF" w:val="clear"/>
        <w:ind w:firstLine="480"/>
        <w:rPr>
          <w:rFonts w:ascii="宋体" w:cs="宋体" w:eastAsia="宋体" w:hAnsi="宋体"/>
          <w:color w:val="333333"/>
          <w:kern w:val="0"/>
          <w:sz w:val="24"/>
          <w:szCs w:val="24"/>
        </w:rPr>
      </w:pPr>
      <w:r>
        <w:t>2024年，三门峡市新闻出版局坚持以习近平新时代中国特色社会主义思想为指导，认真贯彻落实市委市政府关于全面推进政务公开有关决策部署，不断提高新闻出版、版权领域依法行政能力，加强队伍素质提升，全力推进新闻出版、版权领域法治建设，积极履行政务公开工作职责，着力提升政府信息公开质效。在主动公开情况方面，按照依法、全面、真实的原则，突出重点领域信息公开，全年共在河南政务服务网主动更新发布新闻出版行政审批、群众关注的热点信息等10余条次，向社会公众展现了新闻出版事务各项工作。坚持和完善政府信息依申请公开登记、审核、办理、答复、归档等办理制度，扎实做好依申请公开。2024年，我局未收到政府信息公开申请。在政府信息管理方面，严格落实政府信息公开保密审核、日常指导和监督检查责任，围绕法治政府建设，根据实际情况动态调整政府信息公开指南和政府信息主动公开清单，同时信息发布严把政治关、法律关、政策关、保密关、文字关，实现规范化、常态化管理，使政府信息公开工作有章可循和落到实处。在政府信息平台建设方面，主要依托河南政务服务网平台进行公开。定期更新政府信息公开指南，发布印刷企业行政审批办事指南、容缺受理要件，一件事一次办等项目，进一步提升服务水平。在监督保障方面，全面落实政府信息公开监督机制和工作要求，严格执行信息发布“三审三校”制度，严把信息发布关口，做到应公开尽公开。实行政府信息公开工作考核制度、社会评议制度和责任追究制度，对政府信息公开工作进行考核、评议等，保障公民、法人或者其他组织在政府信息公开工作中的合法权益，不断提升我局政务服务能力。</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3</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
      </w:r>
    </w:p>
    <w:p>
      <w:pPr>
        <w:widowControl/>
        <w:shd w:color="auto" w:fill="FFFFFF" w:val="clear"/>
        <w:ind w:firstLine="480"/>
        <w:rPr>
          <w:rFonts w:ascii="宋体" w:cs="宋体" w:eastAsia="宋体" w:hAnsi="宋体"/>
          <w:color w:val="333333"/>
          <w:kern w:val="0"/>
          <w:sz w:val="24"/>
          <w:szCs w:val="24"/>
        </w:rPr>
      </w:pPr>
      <w:r>
        <w:t>2024年，新闻出版领域对政府信息公开的政策解读较少，主动公开内容形式较单一，在政府信息公开的广度和深度方面还需要进一步加强。下一步，我局将提高相关工作人员业务素质和工作能力，针对性加强培训，在行政审批方面，不断优化审批流程，缩减压缩材料和审批时限，让数据多跑路群众少跑腿，为全市营造良好营商环境提供坚强保障。    </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
      </w:r>
    </w:p>
    <w:p>
      <w:pPr>
        <w:widowControl/>
        <w:shd w:color="auto" w:fill="FFFFFF" w:val="clear"/>
        <w:ind w:firstLine="480"/>
        <w:jc w:val="left"/>
        <w:rPr>
          <w:rFonts w:ascii="宋体" w:cs="宋体" w:eastAsia="宋体" w:hAnsi="宋体"/>
          <w:color w:val="333333"/>
          <w:kern w:val="0"/>
          <w:sz w:val="24"/>
          <w:szCs w:val="24"/>
        </w:rPr>
      </w:pPr>
      <w:r>
        <w:t>依据《国务院办公厅关于印发&lt;政府信息公开信息处理费管理办法&gt;的通知》（国办函&lt;2020&gt;109号）规定，本年度没有产生信息公开处理费。</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