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三门峡市供销合作社2024年政府信息公开工作年度报告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一、工作总体情况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供销社认真贯彻落实《中华人民共和国政府信息公开条例》和政府信息公开工作有关部署要求，紧密结合工作实际，不断拓宽公开渠道，丰富政务公开内容，及时规范公开信息，切实做好政府信息公开工作制度化、常态化，切实保障人民群众的知情权、参与权和监督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2024年，市供销社通过微信公众号平台公开了“三农”政策、社会化服务等业务工作情况，主动公开相关政策信息，做到“应公开，尽公开”。同时对外公开了机构设置和工作职责、部门文件等政务信息。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2024年以来，市供销社未收到通过受理电话等方式提出的相关政府信息公开申请。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供销社始终把信息公开作为一项常规要求融入日常工作中，严格按照规定和要求，加强政府信息公开工作的统一领导与协调。所有信息上传前经主管领导审批才能上传。严格公开程序确保公开合法、合规，及时更新市社动态，让群众及时掌握政府工作动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严格按照上级要求核实地址、公开电话、依申请公开办理流程等信息，确保准确公开信息、畅通公开渠道、清晰公开流程。及时按照政府办要求调整政府信息公开的目录结构，按时更新栏目信息。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以机制建设为保障，严格执行信息发布审核机制、依申请公开机制、公开平台安全预警机制，全面落实监督岗位责任。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主要问题：一是政务公开的内容不全面、不够及时。二是政策解读的实效性有待提升。（二）改进措施：一是进一步规范和完善政务公开的内容，按照有关要求，对涉及群众关心的重大问题应及时公开；二是提高政策解读的实效性，准确研判需要回应的热点问题，提高回应社会关切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市供销社严格按照《国务院办公厅关于印发〈政府信息公开信息处理费管理办法〉的通知》（国办函〔2020〕109号）规定的按件、按量收费标准，本年度未产生信息公开处理费。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