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
<Relationships xmlns="http://schemas.openxmlformats.org/package/2006/relationships">
<Relationship Id="rId1" Target="word/document.xml" Type="http://schemas.openxmlformats.org/officeDocument/2006/relationships/officeDocument"/>
<Relationship Id="rId2" Target="docProps/core.xml" Type="http://schemas.openxmlformats.org/package/2006/relationships/metadata/core-properties"/>
<Relationship Id="rId3" Target="docProps/app.xml" Type="http://schemas.openxmlformats.org/officeDocument/2006/relationships/extended-properties"/>
</Relationships>

</file>

<file path=word/document.xml><?xml version="1.0" encoding="utf-8"?>
<w:document xmlns:aink="http://schemas.microsoft.com/office/drawing/2016/ink" xmlns:am3d="http://schemas.microsoft.com/office/drawing/2017/model3d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16se w16cid w16 w16cex w16sdtdh wp14">
  <w:body>
    <w:p w14:paraId="2488EDE9" w14:textId="77777777" w:rsidR="00C14315" w:rsidRDefault="00C14315">
      <w:pPr>
        <w:widowControl/>
        <w:shd w:color="auto" w:fill="FFFFFF" w:val="clear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p w14:paraId="341BB83F" w14:textId="77777777" w:rsidR="00C14315" w:rsidRDefault="00F44765">
      <w:pPr>
        <w:widowControl/>
        <w:shd w:color="auto" w:fill="FFFFFF" w:val="clear"/>
        <w:jc w:val="center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eastAsia="宋体" w:hAnsi="宋体"/>
          <w:b/>
          <w:bCs/>
          <w:color w:val="333333"/>
          <w:kern w:val="0"/>
          <w:sz w:val="36"/>
          <w:szCs w:val="36"/>
        </w:rPr>
        <w:t>三门峡市人民政府2024年政府信息公开工作年度报告</w:t>
      </w:r>
    </w:p>
    <w:p w14:paraId="26780FFF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0A6B92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一、总体情况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（一）主动公开：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2024年，市政府门户网站共添加各类信息10082条，微信公众号“三门峡政务”发布信息2038条，编辑刊发《三门峡市人民政府公报》12期，有效的保障了人民群众对政府工作的知情权、参与权、表达权和监督权；印发《三门峡市2024年政务公开重点工作任务安排》，明确了政务公开年度工作目标和重点工作任务；及时回应社会关注的热点问题，建立健全舆情处置台账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（二）依申请公开：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不断提升答复质效，重视申请人的诉求，强化服务意识，优化办理流畅；及时转发救济渠道调整通知，指导各单位规范答复政府信息公开申请。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（三）政府信息管理：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完善市级行政规范性文件库，强化数据维护，根据立改废情况动态更新，确保规范性文件数据真实可信，集中向社会提供格式统一、内容完整、权威规范的现行有效规范性文件文本。设立检索、统计、下载等功能，提升查询使用规范性文件便利度。明确不同类型信息在政府网站、政务新媒体等渠道的公开时限，及时清理不需要长期保留的信息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（四）政府信息公开平台建设：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提升集约化网站技术水平，实现了栏目检索、搜索即服务等功能，进一步完善了信息发布敏感词检测、个人信息检测、一号登录等功能。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（五）监督保障：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持续做好政府网站和政务新媒体监管工作，对全市政府网站与政务新媒体管理情况进行全面排查整改，切实查清政府网站与政务新媒体管理底数，排查管理上的薄弱环节，开展网站敏感信息个人信息泄露专项治理工作，每周提醒、检查、通报全市政务新媒体更新情况。规范开展工作考核、社会评议，全年未发生因不履行政务公开义务而产生的责任追究情况。</w:t>
      </w:r>
    </w:p>
    <w:p w14:paraId="106EE68B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098F2C4E" w14:textId="77777777" w:rsidR="00C14315" w:rsidRDefault="00F44765">
      <w:pPr>
        <w:pageBreakBefore w:val="on"/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二、主动公开政府信息情况</w:t>
      </w:r>
    </w:p>
    <w:p w14:paraId="54A35C97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0"/>
        <w:jc w:val="center"/>
        <w:tblLayout w:type="fixed"/>
        <w:tblCellMar>
          <w:left w:type="dxa" w:w="57"/>
          <w:right w:type="dxa" w:w="57"/>
        </w:tblCellMar>
        <w:tblLook w:firstColumn="1" w:firstRow="1" w:lastColumn="0" w:lastRow="0" w:noHBand="0" w:noVBand="1" w:val="04A0"/>
      </w:tblPr>
      <w:tblGrid>
        <w:gridCol w:w="2436"/>
        <w:gridCol w:w="2435"/>
        <w:gridCol w:w="2435"/>
        <w:gridCol w:w="2434"/>
      </w:tblGrid>
      <w:tr w14:paraId="6E338DE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1A23E5C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第二十条第（一）项</w:t>
            </w:r>
          </w:p>
        </w:tc>
      </w:tr>
      <w:tr w14:paraId="55927E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AD721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A3E0AB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制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发件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  <w:tc>
          <w:tcPr>
            <w:tcW w:type="dxa" w:w="2435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92E0B7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本年废止件数</w:t>
            </w:r>
          </w:p>
        </w:tc>
        <w:tc>
          <w:tcPr>
            <w:tcW w:type="dxa" w:w="2434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67A86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现行有效件</w:t>
            </w:r>
            <w:r>
              <w:rPr>
                <w:rFonts w:ascii="宋体" w:cs="Calibri" w:hAnsi="宋体"/>
                <w:kern w:val="0"/>
                <w:sz w:val="20"/>
                <w:szCs w:val="20"/>
              </w:rPr>
              <w:t>数</w:t>
            </w:r>
          </w:p>
        </w:tc>
      </w:tr>
      <w:tr w14:paraId="6FB424FE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FFAA43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规章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5</w:t>
            </w:r>
          </w:p>
        </w:tc>
      </w:tr>
      <w:tr w14:paraId="7C14B947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CFC1C88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行政规范性文件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15</w:t>
            </w:r>
          </w:p>
        </w:tc>
        <w:tc>
          <w:tcPr>
            <w:tcW w:type="dxa" w:w="2435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44</w:t>
            </w:r>
          </w:p>
        </w:tc>
        <w:tc>
          <w:tcPr>
            <w:tcW w:type="dxa" w:w="2434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161</w:t>
            </w:r>
          </w:p>
        </w:tc>
      </w:tr>
      <w:tr w14:paraId="31E74237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4214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第二十条第（五）项</w:t>
            </w:r>
          </w:p>
        </w:tc>
      </w:tr>
      <w:tr w14:paraId="42A51CFB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FE3FA5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808BF7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7A4ADEB3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355953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行政许可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48702</w:t>
            </w:r>
          </w:p>
        </w:tc>
      </w:tr>
      <w:tr w14:paraId="4DFB04B3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54E75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第二十条第（六）项</w:t>
            </w:r>
          </w:p>
        </w:tc>
      </w:tr>
      <w:tr w14:paraId="23011D0D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1F032C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top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66D8B76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本年处理决定数量</w:t>
            </w:r>
          </w:p>
        </w:tc>
      </w:tr>
      <w:tr w14:paraId="3D29E151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CC4306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行政处罚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12194</w:t>
            </w:r>
          </w:p>
        </w:tc>
      </w:tr>
      <w:tr w14:paraId="064BEA2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AB5C2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行政强制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132</w:t>
            </w:r>
          </w:p>
        </w:tc>
      </w:tr>
      <w:tr w14:paraId="26E01E2C" w14:textId="77777777" w:rsidR="00C14315">
        <w:trPr>
          <w:trHeight w:val="340"/>
          <w:jc w:val="center"/>
        </w:trPr>
        <w:tc>
          <w:tcPr>
            <w:tcW w:type="dxa" w:w="9739"/>
            <w:gridSpan w:val="4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color="auto" w:fill="C6D9F1" w:val="clear"/>
            <w:vAlign w:val="center"/>
          </w:tcPr>
          <w:p w14:paraId="2961C57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第二十条第（八）项</w:t>
            </w:r>
          </w:p>
        </w:tc>
      </w:tr>
      <w:tr w14:paraId="611F6B72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7EF2589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信息内容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 w14:paraId="323CCA0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本年收费金额（单位：万元）</w:t>
            </w:r>
          </w:p>
        </w:tc>
      </w:tr>
      <w:tr w14:paraId="749ED468" w14:textId="77777777" w:rsidR="00C14315">
        <w:trPr>
          <w:trHeight w:val="340"/>
          <w:jc w:val="center"/>
        </w:trPr>
        <w:tc>
          <w:tcPr>
            <w:tcW w:type="dxa" w:w="2435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D69ECC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行政事业性收费</w:t>
            </w:r>
          </w:p>
        </w:tc>
        <w:tc>
          <w:tcPr>
            <w:tcW w:type="dxa" w:w="7304"/>
            <w:gridSpan w:val="3"/>
            <w:tcBorders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21453.5118</w:t>
            </w:r>
          </w:p>
        </w:tc>
      </w:tr>
    </w:tbl>
    <w:p w14:paraId="0C478D6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三、收到和处理政府信息公开申请情况</w:t>
      </w:r>
    </w:p>
    <w:p w14:paraId="30084006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firstColumn="1" w:firstRow="1" w:lastColumn="0" w:lastRow="0" w:noHBand="0" w:noVBand="1" w:val="04A0"/>
      </w:tblPr>
      <w:tblGrid>
        <w:gridCol w:w="770"/>
        <w:gridCol w:w="942"/>
        <w:gridCol w:w="3220"/>
        <w:gridCol w:w="688"/>
        <w:gridCol w:w="688"/>
        <w:gridCol w:w="689"/>
        <w:gridCol w:w="688"/>
        <w:gridCol w:w="687"/>
        <w:gridCol w:w="688"/>
        <w:gridCol w:w="688"/>
      </w:tblGrid>
      <w:tr w14:paraId="7CFC63A4" w14:textId="77777777" w:rsidR="00C14315" w:rsidTr="00F44765">
        <w:trPr>
          <w:jc w:val="center"/>
        </w:trPr>
        <w:tc>
          <w:tcPr>
            <w:tcW w:type="dxa" w:w="4931"/>
            <w:gridSpan w:val="3"/>
            <w:vMerge w:val="restart"/>
            <w:tcBorders>
              <w:right w:color="000000" w:space="0" w:sz="8" w:val="single"/>
            </w:tcBorders>
            <w:vAlign w:val="center"/>
          </w:tcPr>
          <w:p w14:paraId="478CE1F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（本列数据的勾</w:t>
            </w:r>
            <w:proofErr w:type="gramStart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稽</w:t>
            </w:r>
            <w:proofErr w:type="gramEnd"/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关系为：第一项加第二项之和，等于第三项加第四项之和）</w:t>
            </w:r>
          </w:p>
        </w:tc>
        <w:tc>
          <w:tcPr>
            <w:tcW w:type="dxa" w:w="4816"/>
            <w:gridSpan w:val="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2C5E55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申请人情况</w:t>
            </w:r>
          </w:p>
        </w:tc>
      </w:tr>
      <w:tr w14:paraId="5A3F72CA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7987826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 w:val="restart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EA211D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自然人</w:t>
            </w:r>
          </w:p>
        </w:tc>
        <w:tc>
          <w:tcPr>
            <w:tcW w:type="dxa" w:w="344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0A9250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法人或其他组织</w:t>
            </w:r>
          </w:p>
        </w:tc>
        <w:tc>
          <w:tcPr>
            <w:tcW w:type="dxa" w:w="688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A27F71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</w:tr>
      <w:tr w14:paraId="1F4B972D" w14:textId="77777777" w:rsidR="00C14315" w:rsidTr="00F44765">
        <w:trPr>
          <w:jc w:val="center"/>
        </w:trPr>
        <w:tc>
          <w:tcPr>
            <w:tcW w:type="dxa" w:w="4931"/>
            <w:gridSpan w:val="3"/>
            <w:vMerge/>
            <w:tcMar>
              <w:left w:type="dxa" w:w="10"/>
              <w:right w:type="dxa" w:w="10"/>
            </w:tcMar>
            <w:vAlign w:val="center"/>
          </w:tcPr>
          <w:p w14:paraId="4F23A1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vMerge/>
            <w:tcBorders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4E9182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D4F52C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商业</w:t>
            </w:r>
          </w:p>
          <w:p w14:paraId="07266266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企业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6699A3F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科研</w:t>
            </w:r>
          </w:p>
          <w:p w14:paraId="2F3339E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5B423015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社会公益组织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153B808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法律服务机构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 w14:paraId="26BF82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1C08F92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</w:tr>
      <w:tr w14:paraId="25DE4458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31F367C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一、本年新收政府信息公开申请数量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1132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12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39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1183</w:t>
            </w:r>
          </w:p>
        </w:tc>
      </w:tr>
      <w:tr w14:paraId="39C0B0C2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5AF0AAD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二、上年结转政府信息公开申请数量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27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27</w:t>
            </w:r>
          </w:p>
        </w:tc>
      </w:tr>
      <w:tr w14:paraId="7F34EF5B" w14:textId="77777777" w:rsidR="00C14315" w:rsidTr="00F44765">
        <w:trPr>
          <w:jc w:val="center"/>
        </w:trPr>
        <w:tc>
          <w:tcPr>
            <w:tcW w:type="dxa" w:w="769"/>
            <w:vMerge w:val="restart"/>
            <w:tcMar>
              <w:left w:type="dxa" w:w="57"/>
              <w:right w:type="dxa" w:w="57"/>
            </w:tcMar>
            <w:vAlign w:val="center"/>
          </w:tcPr>
          <w:p w14:paraId="3049D69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三、本年度办理结果</w:t>
            </w: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1BBB6AE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（一）予以公开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333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6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351</w:t>
            </w:r>
          </w:p>
        </w:tc>
      </w:tr>
      <w:tr w14:paraId="68AF17B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CCF784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E4656AC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（二）部分公开</w:t>
            </w:r>
            <w:r>
              <w:rPr>
                <w:rFonts w:ascii="楷体" w:cs="宋体" w:eastAsia="楷体" w:hAnsi="楷体"/>
                <w:kern w:val="0"/>
                <w:sz w:val="20"/>
                <w:szCs w:val="20"/>
              </w:rPr>
              <w:t>（区分处理的，只计这一情形，不计其他情形）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27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29</w:t>
            </w:r>
          </w:p>
        </w:tc>
      </w:tr>
      <w:tr w14:paraId="3776CA8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2CCB5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718109D0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（三）不予公开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E62688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属于国家秘密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</w:tr>
      <w:tr w14:paraId="0C132ACE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343B6F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7CFF8F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408F6C5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其他法律行政法规禁止公开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</w:tr>
      <w:tr w14:paraId="3E2E86C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65DEA7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6BF9AC7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459BF5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危及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“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三安全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一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稳定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”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5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5</w:t>
            </w:r>
          </w:p>
        </w:tc>
      </w:tr>
      <w:tr w14:paraId="11592E6B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9F60D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F6B66A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4ED60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保护第三方合法权益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8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</w:tr>
      <w:tr w14:paraId="38C4F2A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5566C5B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F879C5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085F28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属于三类内部事务信息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</w:t>
            </w:r>
          </w:p>
        </w:tc>
      </w:tr>
      <w:tr w14:paraId="3E7433F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769E31D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2DEAA806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E3CBA8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6.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属于四类过程性信息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  <w:tr w14:paraId="57E55B9C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AFA318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B4B7EC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5A4B9DF7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7.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属于行政执法案卷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  <w:tr w14:paraId="6E7D0BC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4F8614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17B82F4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FFA1B13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8.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属于行政查询事项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11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12</w:t>
            </w:r>
          </w:p>
        </w:tc>
      </w:tr>
      <w:tr w14:paraId="7514194D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E3AECCC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459B3DD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（四）无法提供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6F9FC12F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本机关不掌握相关政府信息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626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18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644</w:t>
            </w:r>
          </w:p>
        </w:tc>
      </w:tr>
      <w:tr w14:paraId="4F5AC7A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1F1B8939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7E6C247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15BF3A5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没有现成信息需要另行制作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8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</w:t>
            </w:r>
          </w:p>
        </w:tc>
      </w:tr>
      <w:tr w14:paraId="6563EB08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8A9404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014E1D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29492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补正后申请内容仍不明确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18CD8B17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53C792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3C00D8E9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（五）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不予处理</w:t>
            </w:r>
            <w:proofErr w:type="gramEnd"/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078E3345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信访举报投诉类申请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13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13</w:t>
            </w:r>
          </w:p>
        </w:tc>
      </w:tr>
      <w:tr w14:paraId="04B52ED2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05DBF3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477D238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6C8D2A1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  <w:tr w14:paraId="587F643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35D1F1A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305275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22D8349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要求提供公开出版物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BE0354A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2A3448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2DDA53A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</w:tcPr>
          <w:p w14:paraId="7C187DB4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4.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无正当理由大量反复申请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6B8C6BEA" w14:textId="77777777" w:rsidR="00C14315" w:rsidTr="00F44765">
        <w:trPr>
          <w:trHeight w:val="779"/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53691CBE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02807C1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16255ABF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5.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要求行政机关确认或重新出具已获取信息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2FD5F6F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0514D8C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 w:val="restart"/>
            <w:tcMar>
              <w:left w:type="dxa" w:w="57"/>
              <w:right w:type="dxa" w:w="57"/>
            </w:tcMar>
            <w:vAlign w:val="center"/>
          </w:tcPr>
          <w:p w14:paraId="0BCDD1D2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（六）其他处理</w:t>
            </w: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71F7123E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1.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申请人无正当理由逾期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补正、行政机关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18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2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20</w:t>
            </w:r>
          </w:p>
        </w:tc>
      </w:tr>
      <w:tr w14:paraId="612846D3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D42FC04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3DCB055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30998772" w14:textId="77777777" w:rsidR="00C14315" w:rsidRDefault="00F44765">
            <w:pPr>
              <w:widowControl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2.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申请人逾期未按收费通知要求缴纳费用、行政机关</w:t>
            </w:r>
            <w:proofErr w:type="gramStart"/>
            <w:r>
              <w:rPr>
                <w:rFonts w:ascii="宋体" w:cs="宋体" w:hAnsi="宋体"/>
                <w:kern w:val="0"/>
                <w:sz w:val="20"/>
                <w:szCs w:val="20"/>
              </w:rPr>
              <w:t>不</w:t>
            </w:r>
            <w:proofErr w:type="gramEnd"/>
            <w:r>
              <w:rPr>
                <w:rFonts w:ascii="宋体" w:cs="宋体" w:hAnsi="宋体"/>
                <w:kern w:val="0"/>
                <w:sz w:val="20"/>
                <w:szCs w:val="20"/>
              </w:rPr>
              <w:t>再处理其政府信息公开申请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0</w:t>
            </w:r>
          </w:p>
        </w:tc>
      </w:tr>
      <w:tr w14:paraId="2EFA1B61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6131E61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942"/>
            <w:vMerge/>
            <w:tcMar>
              <w:left w:type="dxa" w:w="10"/>
              <w:right w:type="dxa" w:w="10"/>
            </w:tcMar>
            <w:vAlign w:val="center"/>
          </w:tcPr>
          <w:p w14:paraId="5255E217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3220"/>
            <w:tcMar>
              <w:left w:type="dxa" w:w="57"/>
              <w:right w:type="dxa" w:w="57"/>
            </w:tcMar>
            <w:vAlign w:val="center"/>
          </w:tcPr>
          <w:p w14:paraId="43CF7A5A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t>3.</w:t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84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5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90</w:t>
            </w:r>
          </w:p>
        </w:tc>
      </w:tr>
      <w:tr w14:paraId="1D27E9C6" w14:textId="77777777" w:rsidR="00C14315" w:rsidTr="00F44765">
        <w:trPr>
          <w:jc w:val="center"/>
        </w:trPr>
        <w:tc>
          <w:tcPr>
            <w:tcW w:type="dxa" w:w="769"/>
            <w:vMerge/>
            <w:tcMar>
              <w:left w:type="dxa" w:w="10"/>
              <w:right w:type="dxa" w:w="10"/>
            </w:tcMar>
            <w:vAlign w:val="center"/>
          </w:tcPr>
          <w:p w14:paraId="4BF9172D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4162"/>
            <w:gridSpan w:val="2"/>
            <w:tcMar>
              <w:left w:type="dxa" w:w="57"/>
              <w:right w:type="dxa" w:w="57"/>
            </w:tcMar>
            <w:vAlign w:val="center"/>
          </w:tcPr>
          <w:p w14:paraId="2DFB095E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（七）总计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1155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12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39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1206</w:t>
            </w:r>
          </w:p>
        </w:tc>
      </w:tr>
      <w:tr w14:paraId="6B0A8829" w14:textId="77777777" w:rsidR="00C14315" w:rsidTr="00F44765">
        <w:trPr>
          <w:jc w:val="center"/>
        </w:trPr>
        <w:tc>
          <w:tcPr>
            <w:tcW w:type="dxa" w:w="4931"/>
            <w:gridSpan w:val="3"/>
            <w:tcMar>
              <w:left w:type="dxa" w:w="57"/>
              <w:right w:type="dxa" w:w="57"/>
            </w:tcMar>
            <w:vAlign w:val="center"/>
          </w:tcPr>
          <w:p w14:paraId="1F3FFFD6" w14:textId="77777777" w:rsidR="00C14315" w:rsidRDefault="00F4476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四、结转下年度继续办理</w:t>
            </w:r>
          </w:p>
        </w:tc>
        <w:tc>
          <w:tcPr>
            <w:tcW w:type="dxa" w:w="688"/>
            <w:tcBorders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4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7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  <w:vAlign w:val="center"/>
          </w:tcPr>
          <w:p>
            <w:r>
              <w:t>0</w:t>
            </w:r>
          </w:p>
        </w:tc>
        <w:tc>
          <w:tcPr>
            <w:tcW w:type="dxa" w:w="688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57"/>
              <w:right w:type="dxa" w:w="57"/>
            </w:tcMar>
          </w:tcPr>
          <w:p>
            <w:r>
              <w:t>4</w:t>
            </w:r>
          </w:p>
        </w:tc>
      </w:tr>
    </w:tbl>
    <w:p w14:paraId="0E168276" w14:textId="77777777" w:rsidR="00C14315" w:rsidRDefault="00F44765">
      <w:pPr>
        <w:widowControl/>
        <w:ind w:firstLine="482"/>
        <w:jc w:val="left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br w:type="page"/>
      </w: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lastRenderedPageBreak/>
        <w:t>四、政府信息公开行政复议、行政诉讼情况</w:t>
      </w:r>
    </w:p>
    <w:p w14:paraId="10979C32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</w:p>
    <w:tbl>
      <w:tblPr>
        <w:tblW w:type="dxa" w:w="9748"/>
        <w:jc w:val="center"/>
        <w:tblLayout w:type="fixed"/>
        <w:tblLook w:firstColumn="1" w:firstRow="1" w:lastColumn="0" w:lastRow="0" w:noHBand="0" w:noVBand="1" w:val="04A0"/>
      </w:tblPr>
      <w:tblGrid>
        <w:gridCol w:w="650"/>
        <w:gridCol w:w="650"/>
        <w:gridCol w:w="649"/>
        <w:gridCol w:w="650"/>
        <w:gridCol w:w="650"/>
        <w:gridCol w:w="650"/>
        <w:gridCol w:w="650"/>
        <w:gridCol w:w="649"/>
        <w:gridCol w:w="650"/>
        <w:gridCol w:w="650"/>
        <w:gridCol w:w="650"/>
        <w:gridCol w:w="650"/>
        <w:gridCol w:w="650"/>
        <w:gridCol w:w="650"/>
        <w:gridCol w:w="650"/>
      </w:tblGrid>
      <w:tr w14:paraId="113768EB" w14:textId="77777777" w:rsidR="00C14315">
        <w:trPr>
          <w:jc w:val="center"/>
        </w:trPr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34FEDE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行政复议</w:t>
            </w:r>
          </w:p>
        </w:tc>
        <w:tc>
          <w:tcPr>
            <w:tcW w:type="dxa" w:w="6499"/>
            <w:gridSpan w:val="1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66723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行政诉讼</w:t>
            </w:r>
          </w:p>
        </w:tc>
      </w:tr>
      <w:tr w14:paraId="37AE5170" w14:textId="77777777" w:rsidR="00C14315">
        <w:trPr>
          <w:jc w:val="center"/>
        </w:trPr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5C0ABC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结果维持</w:t>
            </w:r>
          </w:p>
        </w:tc>
        <w:tc>
          <w:tcPr>
            <w:tcW w:type="dxa" w:w="650"/>
            <w:vMerge w:val="restart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8BCCA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D374C87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D7FCEC8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vMerge w:val="restart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B2C8C2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3249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170A52B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未经复议直接起诉</w:t>
            </w:r>
          </w:p>
        </w:tc>
        <w:tc>
          <w:tcPr>
            <w:tcW w:type="dxa" w:w="3250"/>
            <w:gridSpan w:val="5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021340EC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复议后起诉</w:t>
            </w:r>
          </w:p>
        </w:tc>
      </w:tr>
      <w:tr w14:paraId="5D10382F" w14:textId="77777777" w:rsidR="00C14315">
        <w:trPr>
          <w:jc w:val="center"/>
        </w:trPr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3576F5E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FC482F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49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0E06A90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5C64D853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vMerge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left w:type="dxa" w:w="10"/>
              <w:right w:type="dxa" w:w="10"/>
            </w:tcMar>
            <w:vAlign w:val="center"/>
          </w:tcPr>
          <w:p w14:paraId="23CBC2F8" w14:textId="77777777" w:rsidR="00C14315" w:rsidRDefault="00C14315">
            <w:pPr>
              <w:widowControl/>
              <w:jc w:val="left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B035D4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B1DC3E2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49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FF08833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9A5D0DD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4A7AF0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95B1C0F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维持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2750413E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结果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纠正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4CE3C08A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其他</w:t>
            </w:r>
            <w:r>
              <w:rPr>
                <w:rFonts w:ascii="宋体" w:cs="宋体" w:eastAsia="宋体" w:hAnsi="宋体"/>
                <w:color w:val="000000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结果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585E3FE1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kern w:val="0"/>
                <w:sz w:val="20"/>
                <w:szCs w:val="20"/>
              </w:rPr>
              <w:t>尚未</w:t>
            </w:r>
            <w:r>
              <w:rPr>
                <w:rFonts w:ascii="宋体" w:cs="宋体" w:eastAsia="宋体" w:hAnsi="宋体"/>
                <w:kern w:val="0"/>
                <w:sz w:val="20"/>
                <w:szCs w:val="20"/>
              </w:rPr>
              <w:br/>
            </w:r>
            <w:r>
              <w:rPr>
                <w:rFonts w:ascii="宋体" w:cs="宋体" w:hAnsi="宋体"/>
                <w:kern w:val="0"/>
                <w:sz w:val="20"/>
                <w:szCs w:val="20"/>
              </w:rPr>
              <w:t>审结</w:t>
            </w:r>
          </w:p>
        </w:tc>
        <w:tc>
          <w:tcPr>
            <w:tcW w:type="dxa" w:w="650"/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 w14:paraId="32C57B19" w14:textId="77777777" w:rsidR="00C14315" w:rsidRDefault="00F44765">
            <w:pPr>
              <w:widowControl/>
              <w:jc w:val="center"/>
              <w:rPr>
                <w:rFonts w:ascii="宋体" w:cs="宋体" w:eastAsia="宋体" w:hAnsi="宋体"/>
                <w:kern w:val="0"/>
                <w:sz w:val="24"/>
                <w:szCs w:val="24"/>
              </w:rPr>
            </w:pPr>
            <w:r>
              <w:rPr>
                <w:rFonts w:ascii="宋体" w:cs="宋体" w:hAnsi="宋体"/>
                <w:color w:val="000000"/>
                <w:kern w:val="0"/>
                <w:sz w:val="20"/>
                <w:szCs w:val="20"/>
              </w:rPr>
              <w:t>总计</w:t>
            </w:r>
          </w:p>
        </w:tc>
      </w:tr>
      <w:tr w14:paraId="21C61D8B" w14:textId="77777777" w:rsidR="00C14315">
        <w:trPr>
          <w:trHeight w:val="672"/>
          <w:jc w:val="center"/>
        </w:trPr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30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8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11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3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52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49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15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4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0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1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2</w:t>
            </w:r>
          </w:p>
        </w:tc>
        <w:tc>
          <w:tcPr>
            <w:tcW w:type="dxa" w:w="650"/>
            <w:tcBorders>
              <w:left w:color="000000" w:space="0" w:sz="8" w:val="single"/>
              <w:bottom w:color="000000" w:space="0" w:sz="8" w:val="single"/>
              <w:right w:color="000000" w:space="0" w:sz="8" w:val="single"/>
            </w:tcBorders>
            <w:vAlign w:val="center"/>
          </w:tcPr>
          <w:p>
            <w:r>
              <w:t>7</w:t>
            </w:r>
          </w:p>
        </w:tc>
      </w:tr>
    </w:tbl>
    <w:p w14:paraId="48682354" w14:textId="77777777" w:rsidR="00C14315" w:rsidRDefault="00F44765">
      <w:pPr>
        <w:widowControl/>
        <w:jc w:val="left"/>
        <w:rPr>
          <w:rFonts w:ascii="宋体" w:cs="宋体" w:eastAsia="宋体" w:hAnsi="宋体"/>
          <w:kern w:val="0"/>
          <w:sz w:val="24"/>
          <w:szCs w:val="24"/>
        </w:rPr>
      </w:pPr>
      <w:r>
        <w:rPr>
          <w:rFonts w:ascii="宋体" w:cs="宋体" w:eastAsia="宋体" w:hAnsi="宋体"/>
          <w:color w:val="333333"/>
          <w:kern w:val="0"/>
          <w:sz w:val="24"/>
          <w:szCs w:val="24"/>
        </w:rPr>
        <w:br/>
      </w:r>
    </w:p>
    <w:p w14:paraId="5E203271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五、存在的主要问题及改进情况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存在主要问题：1.部分单位政务公开工作人员调整频繁，出现工作衔接不畅，业务生疏等现象。2.部分单位政务新媒体发布、审核仍需加强。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改进措施：1.完善政务公开工作机制，定期组织开展政务公开工作培训、研讨交流，解读重点工作任务、剖析工作难点，明确下一步工作方向，不断提升全市政务公开工作水平。2.进一步加强政务新媒体管理，严格要求各主办单位健全完善内容发布审核制度，严格执行先审后发制度，把好政治关、法律关、政策关、保密关、文字关。</w:t>
      </w:r>
    </w:p>
    <w:p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p w14:paraId="5EBBDA24" w14:textId="77777777" w:rsidR="00C14315" w:rsidRDefault="00C14315">
      <w:pPr>
        <w:widowControl/>
        <w:shd w:color="auto" w:fill="FFFFFF" w:val="clear"/>
        <w:ind w:firstLine="480"/>
        <w:rPr>
          <w:rFonts w:ascii="宋体" w:cs="宋体" w:eastAsia="宋体" w:hAnsi="宋体"/>
          <w:color w:val="333333"/>
          <w:kern w:val="0"/>
          <w:sz w:val="24"/>
          <w:szCs w:val="24"/>
        </w:rPr>
      </w:pPr>
    </w:p>
    <w:p w14:paraId="67AC7663" w14:textId="77777777" w:rsidR="00C14315" w:rsidRDefault="00F44765">
      <w:pPr>
        <w:widowControl/>
        <w:shd w:color="auto" w:fill="FFFFFF" w:val="clear"/>
        <w:ind w:firstLine="480"/>
        <w:rPr>
          <w:rFonts w:ascii="宋体" w:cs="宋体" w:eastAsia="宋体" w:hAnsi="宋体"/>
          <w:b/>
          <w:bCs/>
          <w:color w:val="333333"/>
          <w:kern w:val="0"/>
          <w:sz w:val="24"/>
          <w:szCs w:val="24"/>
        </w:rPr>
      </w:pPr>
      <w:r>
        <w:rPr>
          <w:rFonts w:ascii="宋体" w:cs="宋体" w:hAnsi="宋体"/>
          <w:b/>
          <w:bCs/>
          <w:color w:val="333333"/>
          <w:kern w:val="0"/>
          <w:sz w:val="24"/>
          <w:szCs w:val="24"/>
        </w:rPr>
        <w:t>六、其他需要报告的事项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1.三门峡市严格按照《国务院办公厅关于印发〈政府信息公开信息处理费管理办法〉的通知》国办函〔2020〕109 号规定的按件、按量收费标准，本年度未产生信息公开处理费。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>2.收到和处理政府信息公开申请情况、政府信息公开行政复议、行政诉讼情况由系统汇总得到；规章、规范性文件信息：由市司法局提供；行政事业性收费信息：由三门峡市财政局提供；行政许可、行政处罚、行政强制信息相关数据：由市发改委提供。</w:t>
      </w:r>
    </w:p>
    <w:p>
      <w:pPr>
        <w:widowControl/>
        <w:shd w:color="auto" w:fill="FFFFFF" w:val="clear"/>
        <w:ind w:firstLine="480"/>
        <w:jc w:val="left"/>
        <w:rPr>
          <w:rFonts w:ascii="宋体" w:cs="宋体" w:eastAsia="宋体" w:hAnsi="宋体"/>
          <w:color w:val="333333"/>
          <w:kern w:val="0"/>
          <w:sz w:val="24"/>
          <w:szCs w:val="24"/>
        </w:rPr>
      </w:pPr>
      <w:r>
        <w:t/>
      </w:r>
    </w:p>
    <w:sectPr w:rsidR="00C14315" w:rsidSect="00F40211">
      <w:pgSz w:h="16838" w:w="11906"/>
      <w:pgMar w:bottom="1440" w:footer="0" w:gutter="0" w:header="0" w:left="1701" w:right="1701" w:top="1440"/>
      <w:cols w:space="720"/>
      <w:formProt w:val="0"/>
      <w:docGrid w:charSpace="6143" w:linePitch="312" w:type="line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86"/>
    <w:family w:val="swiss"/>
    <w:pitch w:val="variable"/>
    <w:sig w:usb0="E0000AFF" w:usb1="500078FF" w:usb2="00000021" w:usb3="00000000" w:csb0="000001BF" w:csb1="00000000"/>
  </w:font>
  <w:font w:name="微软雅黑">
    <w:panose1 w:val="020B0503020204020204"/>
    <w:charset w:val="86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="http://schemas.openxmlformats.org/officeDocument/2006/math" xmlns:mc="http://schemas.openxmlformats.org/markup-compatibility/2006" xmlns:o="urn:schemas-microsoft-com:office:office" xmlns:r="http://schemas.openxmlformats.org/officeDocument/2006/relationship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zoom w:percent="150"/>
  <w:bordersDoNotSurroundHeader/>
  <w:bordersDoNotSurroundFooter/>
  <w:proofState w:grammar="clean" w:spelling="clean"/>
  <w:defaultTabStop w:val="420"/>
  <w:autoHyphenation/>
  <w:characterSpacingControl w:val="doNotCompress"/>
  <w:compat>
    <w:doNotExpandShiftReturn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14315"/>
    <w:rsid w:val="00C14315"/>
    <w:rsid w:val="00F40211"/>
    <w:rsid w:val="00F447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bidi="" w:eastAsia="zh-CN" w:val="en-US"/>
  <w:clrSchemeMapping w:accent1="accent1" w:accent2="accent2" w:accent3="accent3" w:accent4="accent4" w:accent5="accent5" w:accent6="accent6" w:bg1="light1" w:bg2="light2" w:followedHyperlink="followedHyperlink" w:hyperlink="hyperlink" w:t1="dark1" w:t2="dark2"/>
  <w:shapeDefaults>
    <o:shapedefaults spidmax="1026" v:ext="edit"/>
    <o:shapelayout v:ext="edit">
      <o:idmap data="1" v:ext="edit"/>
    </o:shapelayout>
  </w:shapeDefaults>
  <w:decimalSymbol w:val="."/>
  <w:listSeparator w:val=","/>
  <w14:docId w14:val="1B36E6FF"/>
  <w15:docId w15:val="{36231B8A-2915-4805-AEEA-B963C5252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cstheme="minorBidi" w:eastAsiaTheme="minorEastAsia" w:hAnsiTheme="minorHAnsi"/>
        <w:kern w:val="2"/>
        <w:sz w:val="21"/>
        <w:szCs w:val="22"/>
        <w:lang w:bidi="ar-SA" w:eastAsia="zh-CN" w:val="en-US"/>
      </w:rPr>
    </w:rPrDefault>
    <w:pPrDefault>
      <w:pPr>
        <w:suppressAutoHyphens/>
      </w:pPr>
    </w:pPrDefault>
  </w:docDefaults>
  <w:latentStyles w:count="376" w:defLockedState="0" w:defQFormat="0" w:defSemiHidden="0" w:defUIPriority="99" w:defUnhideWhenUsed="0">
    <w:lsdException w:name="Normal" w:qFormat="1" w:uiPriority="0"/>
    <w:lsdException w:name="heading 1" w:qFormat="1" w:uiPriority="9"/>
    <w:lsdException w:name="heading 2" w:qFormat="1" w:semiHidden="1" w:uiPriority="9" w:unhideWhenUsed="1"/>
    <w:lsdException w:name="heading 3" w:qFormat="1" w:semiHidden="1" w:uiPriority="9" w:unhideWhenUsed="1"/>
    <w:lsdException w:name="heading 4" w:qFormat="1" w:semiHidden="1" w:uiPriority="9" w:unhideWhenUsed="1"/>
    <w:lsdException w:name="heading 5" w:qFormat="1" w:semiHidden="1" w:uiPriority="9" w:unhideWhenUsed="1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qFormat="1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 w:uiPriority="22"/>
    <w:lsdException w:name="Emphasis" w:qFormat="1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 w:uiPriority="34"/>
    <w:lsdException w:name="Quote" w:qFormat="1" w:uiPriority="29"/>
    <w:lsdException w:name="Intense Quote" w:qFormat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qFormat="1" w:uiPriority="19"/>
    <w:lsdException w:name="Intense Emphasis" w:qFormat="1" w:uiPriority="21"/>
    <w:lsdException w:name="Subtle Reference" w:qFormat="1" w:uiPriority="31"/>
    <w:lsdException w:name="Intense Reference" w:qFormat="1" w:uiPriority="32"/>
    <w:lsdException w:name="Book Title" w:qFormat="1" w:uiPriority="33"/>
    <w:lsdException w:name="Bibliography" w:semiHidden="1" w:uiPriority="37" w:unhideWhenUsed="1"/>
    <w:lsdException w:name="TOC Heading" w:qFormat="1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default="1" w:styleId="a" w:type="paragraph">
    <w:name w:val="Normal"/>
    <w:qFormat/>
    <w:pPr>
      <w:widowControl w:val="0"/>
      <w:jc w:val="both"/>
    </w:pPr>
  </w:style>
  <w:style w:default="1" w:styleId="a0" w:type="character">
    <w:name w:val="Default Paragraph Font"/>
    <w:uiPriority w:val="1"/>
    <w:semiHidden/>
    <w:unhideWhenUsed/>
  </w:style>
  <w:style w:default="1" w:styleId="a1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a2" w:type="numbering">
    <w:name w:val="No List"/>
    <w:uiPriority w:val="99"/>
    <w:semiHidden/>
    <w:unhideWhenUsed/>
  </w:style>
  <w:style w:customStyle="1" w:styleId="a3" w:type="paragraph">
    <w:name w:val="标题样式"/>
    <w:basedOn w:val="a"/>
    <w:next w:val="a4"/>
    <w:qFormat/>
    <w:pPr>
      <w:keepNext/>
      <w:spacing w:after="120" w:before="240"/>
    </w:pPr>
    <w:rPr>
      <w:rFonts w:ascii="Liberation Sans" w:cs="Arial" w:eastAsia="微软雅黑" w:hAnsi="Liberation Sans"/>
      <w:sz w:val="28"/>
      <w:szCs w:val="28"/>
    </w:rPr>
  </w:style>
  <w:style w:styleId="a4" w:type="paragraph">
    <w:name w:val="Body Text"/>
    <w:basedOn w:val="a"/>
    <w:pPr>
      <w:spacing w:after="140" w:line="276" w:lineRule="auto"/>
    </w:pPr>
  </w:style>
  <w:style w:styleId="a5" w:type="paragraph">
    <w:name w:val="List"/>
    <w:basedOn w:val="a4"/>
    <w:rPr>
      <w:rFonts w:cs="Arial"/>
    </w:rPr>
  </w:style>
  <w:style w:styleId="a6" w:type="paragraph">
    <w:name w:val="caption"/>
    <w:basedOn w:val="a"/>
    <w:qFormat/>
    <w:pPr>
      <w:suppressLineNumbers/>
      <w:spacing w:after="120" w:before="120"/>
    </w:pPr>
    <w:rPr>
      <w:rFonts w:cs="Arial"/>
      <w:i/>
      <w:iCs/>
      <w:sz w:val="24"/>
      <w:szCs w:val="24"/>
    </w:rPr>
  </w:style>
  <w:style w:customStyle="1" w:styleId="a7" w:type="paragraph">
    <w:name w:val="索引"/>
    <w:basedOn w:val="a"/>
    <w:qFormat/>
    <w:pPr>
      <w:suppressLineNumbers/>
    </w:pPr>
    <w:rPr>
      <w:rFonts w:cs="Arial"/>
    </w:rPr>
  </w:style>
  <w:style w:styleId="a8" w:type="paragraph">
    <w:name w:val="Normal (Web)"/>
    <w:basedOn w:val="a"/>
    <w:uiPriority w:val="99"/>
    <w:semiHidden/>
    <w:unhideWhenUsed/>
    <w:qFormat/>
    <w:rsid w:val="008E1CAD"/>
    <w:pPr>
      <w:widowControl/>
      <w:spacing w:afterAutospacing="1" w:beforeAutospacing="1"/>
      <w:jc w:val="left"/>
    </w:pPr>
    <w:rPr>
      <w:rFonts w:ascii="宋体" w:cs="宋体" w:eastAsia="宋体" w:hAnsi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
<Relationships xmlns="http://schemas.openxmlformats.org/package/2006/relationships">
<Relationship Id="rId1" Target="styles.xml" Type="http://schemas.openxmlformats.org/officeDocument/2006/relationships/styles"/>
<Relationship Id="rId2" Target="settings.xml" Type="http://schemas.openxmlformats.org/officeDocument/2006/relationships/settings"/>
<Relationship Id="rId3" Target="webSettings.xml" Type="http://schemas.openxmlformats.org/officeDocument/2006/relationships/webSettings"/>
<Relationship Id="rId4" Target="fontTable.xml" Type="http://schemas.openxmlformats.org/officeDocument/2006/relationships/fontTable"/>
<Relationship Id="rId5" Target="theme/theme1.xml" Type="http://schemas.openxmlformats.org/officeDocument/2006/relationships/theme"/>
</Relationships>

</file>

<file path=word/theme/theme1.xml><?xml version="1.0" encoding="utf-8"?>
<a:theme xmlns:a="http://schemas.openxmlformats.org/drawingml/2006/main" name="Office 主题​​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3</Pages>
  <Words>209</Words>
  <Characters>1193</Characters>
  <Application>Microsoft Office Word</Application>
  <DocSecurity>0</DocSecurity>
  <Lines>9</Lines>
  <Paragraphs>2</Paragraphs>
  <ScaleCrop>false</ScaleCrop>
  <Company>China</Company>
  <LinksUpToDate>false</LinksUpToDate>
  <CharactersWithSpaces>1400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2021-10-21T05:34:00Z</dcterms:created>
  <dc:creator>IdeaBank</dc:creator>
  <dc:language>zh-CN</dc:language>
  <cp:lastModifiedBy>志成 闫</cp:lastModifiedBy>
  <dcterms:modified xsi:type="dcterms:W3CDTF">2024-01-24T01:46:00Z</dcterms:modified>
  <cp:revision>28</cp:revision>
</cp:coreProperties>
</file>